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560" w:lineRule="exact"/>
        <w:jc w:val="both"/>
        <w:rPr>
          <w:rFonts w:ascii="Times New Roman" w:hAnsi="Times New Roman"/>
          <w:color w:val="000000"/>
          <w:highlight w:val="none"/>
        </w:rPr>
      </w:pPr>
      <w:bookmarkStart w:id="0" w:name="_Toc24611"/>
      <w:bookmarkStart w:id="1" w:name="_Toc1809"/>
      <w:bookmarkStart w:id="2" w:name="_Toc16040"/>
      <w:r>
        <w:rPr>
          <w:rFonts w:ascii="Times New Roman" w:hAnsi="Times New Roman"/>
          <w:color w:val="000000"/>
          <w:sz w:val="24"/>
          <w:highlight w:val="none"/>
        </w:rPr>
        <w:t>附件1：</w:t>
      </w:r>
      <w:bookmarkEnd w:id="0"/>
      <w:bookmarkEnd w:id="1"/>
      <w:bookmarkEnd w:id="2"/>
    </w:p>
    <w:p>
      <w:pPr>
        <w:spacing w:line="560" w:lineRule="exact"/>
        <w:jc w:val="center"/>
        <w:rPr>
          <w:rFonts w:ascii="Times New Roman" w:hAnsi="Times New Roman"/>
          <w:b/>
          <w:color w:val="000000"/>
          <w:sz w:val="28"/>
          <w:szCs w:val="28"/>
          <w:highlight w:val="none"/>
        </w:rPr>
      </w:pPr>
      <w:r>
        <w:rPr>
          <w:rFonts w:ascii="Times New Roman" w:hAnsi="Times New Roman"/>
          <w:b/>
          <w:color w:val="000000"/>
          <w:sz w:val="28"/>
          <w:szCs w:val="28"/>
          <w:highlight w:val="none"/>
        </w:rPr>
        <w:t>投标保密承诺书</w:t>
      </w:r>
    </w:p>
    <w:p>
      <w:pPr>
        <w:spacing w:line="560" w:lineRule="exact"/>
        <w:rPr>
          <w:rFonts w:ascii="Times New Roman" w:hAnsi="Times New Roman"/>
          <w:b/>
          <w:color w:val="000000"/>
          <w:highlight w:val="none"/>
        </w:rPr>
      </w:pPr>
    </w:p>
    <w:p>
      <w:pPr>
        <w:spacing w:line="560" w:lineRule="exact"/>
        <w:rPr>
          <w:rFonts w:ascii="Times New Roman" w:hAnsi="Times New Roman"/>
          <w:color w:val="000000"/>
          <w:highlight w:val="none"/>
        </w:rPr>
      </w:pPr>
      <w:r>
        <w:rPr>
          <w:rFonts w:ascii="Times New Roman" w:hAnsi="Times New Roman"/>
          <w:color w:val="000000"/>
          <w:highlight w:val="none"/>
        </w:rPr>
        <w:t>致：四川省旅游投资集团有限责任公司</w:t>
      </w:r>
    </w:p>
    <w:p>
      <w:pPr>
        <w:spacing w:line="560" w:lineRule="exact"/>
        <w:rPr>
          <w:rFonts w:ascii="Times New Roman" w:hAnsi="Times New Roman"/>
          <w:color w:val="000000"/>
          <w:highlight w:val="none"/>
        </w:rPr>
      </w:pPr>
    </w:p>
    <w:p>
      <w:pPr>
        <w:spacing w:line="560" w:lineRule="exact"/>
        <w:ind w:firstLine="480" w:firstLineChars="200"/>
        <w:rPr>
          <w:rFonts w:ascii="Times New Roman" w:hAnsi="Times New Roman"/>
          <w:b/>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（以下简称“我司”）希望参与四川省旅游投资集团有限责任公司（以下简称“旅投集团”）关于“</w:t>
      </w:r>
      <w:r>
        <w:rPr>
          <w:rFonts w:hint="eastAsia" w:ascii="Times New Roman" w:hAnsi="Times New Roman"/>
          <w:color w:val="000000"/>
          <w:highlight w:val="none"/>
          <w:u w:val="single"/>
          <w:lang w:eastAsia="zh-CN"/>
        </w:rPr>
        <w:t>发行定向债务融资工具（PPN）主承销商选聘项目</w:t>
      </w:r>
      <w:r>
        <w:rPr>
          <w:rFonts w:ascii="Times New Roman" w:hAnsi="Times New Roman"/>
          <w:color w:val="000000"/>
          <w:highlight w:val="none"/>
        </w:rPr>
        <w:t>”（以下简称“本项目”）的公开招标活动。在本项目投标过程中，旅投集团同意向我司提供有关本项目的相关信息和技术资料，前提是我司必须根据本承诺书的规定对所提供的信息和资料严格履行保密责任，并且仅用于参加本项目的投标活动及中标后的项目实施。</w:t>
      </w:r>
    </w:p>
    <w:p>
      <w:pPr>
        <w:spacing w:line="560" w:lineRule="exact"/>
        <w:ind w:firstLine="480" w:firstLineChars="200"/>
        <w:rPr>
          <w:rFonts w:ascii="Times New Roman" w:hAnsi="Times New Roman"/>
          <w:b/>
          <w:color w:val="000000"/>
          <w:highlight w:val="none"/>
        </w:rPr>
      </w:pPr>
      <w:r>
        <w:rPr>
          <w:rFonts w:ascii="Times New Roman" w:hAnsi="Times New Roman"/>
          <w:color w:val="000000"/>
          <w:highlight w:val="none"/>
        </w:rPr>
        <w:t>为了对保密信息予以有效保护，我司同意做出以下承诺：</w:t>
      </w:r>
    </w:p>
    <w:p>
      <w:pPr>
        <w:numPr>
          <w:ilvl w:val="0"/>
          <w:numId w:val="1"/>
        </w:numPr>
        <w:spacing w:line="560" w:lineRule="exact"/>
        <w:outlineLvl w:val="1"/>
        <w:rPr>
          <w:rFonts w:ascii="Times New Roman" w:hAnsi="Times New Roman"/>
          <w:b/>
          <w:color w:val="000000"/>
          <w:highlight w:val="none"/>
        </w:rPr>
      </w:pPr>
      <w:bookmarkStart w:id="3" w:name="_Toc28498"/>
      <w:bookmarkStart w:id="4" w:name="_Toc9449"/>
      <w:r>
        <w:rPr>
          <w:rFonts w:ascii="Times New Roman" w:hAnsi="Times New Roman"/>
          <w:b/>
          <w:color w:val="000000"/>
          <w:highlight w:val="none"/>
        </w:rPr>
        <w:t>相关信息和资料的定义</w:t>
      </w:r>
      <w:bookmarkEnd w:id="3"/>
      <w:bookmarkEnd w:id="4"/>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本承诺书所称的“相关信息和技术资料”是指基于本项目的招标活动向我司提供的招标文件内容以及有关本项目实施过程中涉及的全部未向社会公开的信息，无论是书面的、口头的、图形的、电子的或其它任何形式的信息。 </w:t>
      </w:r>
    </w:p>
    <w:p>
      <w:pPr>
        <w:numPr>
          <w:ilvl w:val="0"/>
          <w:numId w:val="1"/>
        </w:numPr>
        <w:spacing w:line="560" w:lineRule="exact"/>
        <w:outlineLvl w:val="1"/>
        <w:rPr>
          <w:rFonts w:ascii="Times New Roman" w:hAnsi="Times New Roman"/>
          <w:b/>
          <w:color w:val="000000"/>
          <w:highlight w:val="none"/>
        </w:rPr>
      </w:pPr>
      <w:bookmarkStart w:id="5" w:name="_Toc12133"/>
      <w:bookmarkStart w:id="6" w:name="_Toc8451"/>
      <w:r>
        <w:rPr>
          <w:rFonts w:ascii="Times New Roman" w:hAnsi="Times New Roman"/>
          <w:b/>
          <w:color w:val="000000"/>
          <w:highlight w:val="none"/>
        </w:rPr>
        <w:t>保密义务</w:t>
      </w:r>
      <w:bookmarkEnd w:id="5"/>
      <w:bookmarkEnd w:id="6"/>
    </w:p>
    <w:p>
      <w:pPr>
        <w:pStyle w:val="9"/>
        <w:numPr>
          <w:ilvl w:val="0"/>
          <w:numId w:val="2"/>
        </w:numPr>
        <w:spacing w:line="560" w:lineRule="exact"/>
        <w:ind w:left="0" w:firstLine="480"/>
        <w:rPr>
          <w:rFonts w:ascii="Times New Roman" w:hAnsi="Times New Roman"/>
          <w:b/>
          <w:color w:val="000000"/>
          <w:highlight w:val="none"/>
        </w:rPr>
      </w:pPr>
      <w:r>
        <w:rPr>
          <w:rFonts w:ascii="Times New Roman" w:hAnsi="Times New Roman"/>
          <w:color w:val="000000"/>
          <w:highlight w:val="none"/>
        </w:rPr>
        <w:t xml:space="preserve">我司同意严格保密本次项目招标活动所提供的相关信息和技术资料； </w:t>
      </w:r>
    </w:p>
    <w:p>
      <w:pPr>
        <w:pStyle w:val="9"/>
        <w:numPr>
          <w:ilvl w:val="0"/>
          <w:numId w:val="2"/>
        </w:numPr>
        <w:spacing w:line="560" w:lineRule="exact"/>
        <w:ind w:left="0" w:firstLine="480"/>
        <w:rPr>
          <w:rFonts w:ascii="Times New Roman" w:hAnsi="Times New Roman"/>
          <w:b/>
          <w:color w:val="000000"/>
          <w:highlight w:val="none"/>
        </w:rPr>
      </w:pPr>
      <w:r>
        <w:rPr>
          <w:rFonts w:ascii="Times New Roman" w:hAnsi="Times New Roman"/>
          <w:color w:val="000000"/>
          <w:highlight w:val="none"/>
        </w:rPr>
        <w:t>我司保证采取所有必要的方法对本次项目招标活动所提供的相关信息和技术资料进行保密，严禁非授权透露、使用、复制本次项目招标活动所提供的相关信息和技术资料；</w:t>
      </w:r>
    </w:p>
    <w:p>
      <w:pPr>
        <w:pStyle w:val="9"/>
        <w:numPr>
          <w:ilvl w:val="0"/>
          <w:numId w:val="2"/>
        </w:numPr>
        <w:spacing w:line="560" w:lineRule="exact"/>
        <w:ind w:left="0" w:firstLine="480"/>
        <w:rPr>
          <w:rFonts w:ascii="Times New Roman" w:hAnsi="Times New Roman"/>
          <w:b/>
          <w:color w:val="000000"/>
          <w:highlight w:val="none"/>
        </w:rPr>
      </w:pPr>
      <w:r>
        <w:rPr>
          <w:rFonts w:ascii="Times New Roman" w:hAnsi="Times New Roman"/>
          <w:color w:val="000000"/>
          <w:highlight w:val="none"/>
        </w:rPr>
        <w:t xml:space="preserve">未经旅投集团书面同意，我司不得因任何理由以任何方式透露本次项目招标活动所提供的相关信息和技术资料。 </w:t>
      </w:r>
    </w:p>
    <w:p>
      <w:pPr>
        <w:numPr>
          <w:ilvl w:val="0"/>
          <w:numId w:val="1"/>
        </w:numPr>
        <w:spacing w:line="560" w:lineRule="exact"/>
        <w:outlineLvl w:val="1"/>
        <w:rPr>
          <w:rFonts w:ascii="Times New Roman" w:hAnsi="Times New Roman"/>
          <w:b/>
          <w:color w:val="000000"/>
          <w:highlight w:val="none"/>
        </w:rPr>
      </w:pPr>
      <w:bookmarkStart w:id="7" w:name="_Toc15206"/>
      <w:bookmarkStart w:id="8" w:name="_Toc23521"/>
      <w:r>
        <w:rPr>
          <w:rFonts w:ascii="Times New Roman" w:hAnsi="Times New Roman"/>
          <w:b/>
          <w:color w:val="000000"/>
          <w:highlight w:val="none"/>
        </w:rPr>
        <w:t>使用方式和不使用的义务</w:t>
      </w:r>
      <w:bookmarkEnd w:id="7"/>
      <w:bookmarkEnd w:id="8"/>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本次项目招标活动所提供的相关信息和技术资料只能被我司用于进行本次参与招标活动及中标后的项目实施，我司不能将本次项目招标活动所提供的相关信息和技术资料用于其它任何目的。</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除我司参与招标活动的人员和直接参与本次项目实施的员工外，我司不能将本次项目招标活动所提供的相关信息和技术资料透露给其它任何人；未经旅投集团书面同意，我司不得将本次项目招标活动所提供的相关信息和技术资料向新闻媒体予以公开披露或者发表声明。</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我司应当告知参与本次招标活动的员工或我司聘请的相关人员遵守本保密协议书的约定，并应采取必要措施，确保其参与本次招标活动和项目实施的员工和外聘人员履行保密义务。若参与本项工作之员工或外聘人员违反本保密协议的约定，泄露旅投集团所提供的相关信息和技术资料，依据本承诺书约定，我司应与泄密员工或外聘人员承担连带责任。 </w:t>
      </w:r>
    </w:p>
    <w:p>
      <w:pPr>
        <w:numPr>
          <w:ilvl w:val="0"/>
          <w:numId w:val="1"/>
        </w:numPr>
        <w:spacing w:line="560" w:lineRule="exact"/>
        <w:outlineLvl w:val="1"/>
        <w:rPr>
          <w:rFonts w:ascii="Times New Roman" w:hAnsi="Times New Roman"/>
          <w:b/>
          <w:color w:val="000000"/>
          <w:highlight w:val="none"/>
        </w:rPr>
      </w:pPr>
      <w:bookmarkStart w:id="9" w:name="_Toc11129"/>
      <w:bookmarkStart w:id="10" w:name="_Toc12900"/>
      <w:r>
        <w:rPr>
          <w:rFonts w:ascii="Times New Roman" w:hAnsi="Times New Roman"/>
          <w:b/>
          <w:color w:val="000000"/>
          <w:highlight w:val="none"/>
        </w:rPr>
        <w:t>相关信息和资料的交回</w:t>
      </w:r>
      <w:bookmarkEnd w:id="9"/>
      <w:bookmarkEnd w:id="10"/>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当旅投集团以书面形式要求我司交回本次项目招标活动所提供的相关信息和技术资料时，我司应立即交回所有书面的或其他有形的相关信息和资料以及所有描述和概括该相关信息和资料的文件。我司在交回以上有关资料前未经旅投集团的允许不得采取抄写、复印、拷贝等任何方式留存相关信息和资料。</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没有旅投集团的书面许可，我司不得丢弃和处理任何书面的或其他有形的相关信息和资料。 </w:t>
      </w:r>
    </w:p>
    <w:p>
      <w:pPr>
        <w:numPr>
          <w:ilvl w:val="0"/>
          <w:numId w:val="1"/>
        </w:numPr>
        <w:spacing w:line="560" w:lineRule="exact"/>
        <w:outlineLvl w:val="1"/>
        <w:rPr>
          <w:rFonts w:ascii="Times New Roman" w:hAnsi="Times New Roman"/>
          <w:b/>
          <w:color w:val="000000"/>
          <w:highlight w:val="none"/>
        </w:rPr>
      </w:pPr>
      <w:bookmarkStart w:id="11" w:name="_Toc29877"/>
      <w:bookmarkStart w:id="12" w:name="_Toc7081"/>
      <w:r>
        <w:rPr>
          <w:rFonts w:ascii="Times New Roman" w:hAnsi="Times New Roman"/>
          <w:b/>
          <w:color w:val="000000"/>
          <w:highlight w:val="none"/>
        </w:rPr>
        <w:t>违约责任</w:t>
      </w:r>
      <w:bookmarkEnd w:id="11"/>
      <w:bookmarkEnd w:id="12"/>
      <w:r>
        <w:rPr>
          <w:rFonts w:ascii="Times New Roman" w:hAnsi="Times New Roman"/>
          <w:b/>
          <w:color w:val="000000"/>
          <w:highlight w:val="none"/>
        </w:rPr>
        <w:t xml:space="preserve">  </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我司如违约泄露本次项目招标活动所提供的相关信息和技术资料，应当按照旅投集团的指示采取一切必要措施对违约行为予以补救，包括采取有效方法对该专有信息进行保密，所需费用由我司承担。</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我司应当赔偿旅投集团因我司违约而造成的所有损失。 </w:t>
      </w:r>
    </w:p>
    <w:p>
      <w:pPr>
        <w:numPr>
          <w:ilvl w:val="0"/>
          <w:numId w:val="1"/>
        </w:numPr>
        <w:spacing w:line="560" w:lineRule="exact"/>
        <w:outlineLvl w:val="1"/>
        <w:rPr>
          <w:rFonts w:ascii="Times New Roman" w:hAnsi="Times New Roman"/>
          <w:b/>
          <w:color w:val="000000"/>
          <w:highlight w:val="none"/>
        </w:rPr>
      </w:pPr>
      <w:bookmarkStart w:id="13" w:name="_Toc2727"/>
      <w:bookmarkStart w:id="14" w:name="_Toc21452"/>
      <w:r>
        <w:rPr>
          <w:rFonts w:ascii="Times New Roman" w:hAnsi="Times New Roman"/>
          <w:b/>
          <w:color w:val="000000"/>
          <w:highlight w:val="none"/>
        </w:rPr>
        <w:t>保密期限</w:t>
      </w:r>
      <w:bookmarkEnd w:id="13"/>
      <w:bookmarkEnd w:id="14"/>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自本承诺书生效之日起，双方的合作交流都应符合本承诺书的约定，除非旅投集团通过书面通知说明，本承诺书所涉及的某项信息和资料可以不用保密外，我司必须按照本承诺书所承担的保密义务在所</w:t>
      </w:r>
      <w:r>
        <w:rPr>
          <w:rFonts w:hint="eastAsia" w:ascii="Times New Roman" w:hAnsi="Times New Roman"/>
          <w:color w:val="000000"/>
          <w:highlight w:val="none"/>
          <w:lang w:eastAsia="zh-CN"/>
        </w:rPr>
        <w:t>接收的信息</w:t>
      </w:r>
      <w:r>
        <w:rPr>
          <w:rFonts w:ascii="Times New Roman" w:hAnsi="Times New Roman"/>
          <w:color w:val="000000"/>
          <w:highlight w:val="none"/>
        </w:rPr>
        <w:t xml:space="preserve">和资料被社会公知前对所收到的相关信息和资料进行保密，保密期限不受本承诺书有效期限的限制。  </w:t>
      </w:r>
    </w:p>
    <w:p>
      <w:pPr>
        <w:numPr>
          <w:ilvl w:val="0"/>
          <w:numId w:val="1"/>
        </w:numPr>
        <w:spacing w:line="560" w:lineRule="exact"/>
        <w:outlineLvl w:val="1"/>
        <w:rPr>
          <w:rFonts w:ascii="Times New Roman" w:hAnsi="Times New Roman"/>
          <w:b/>
          <w:color w:val="000000"/>
          <w:highlight w:val="none"/>
        </w:rPr>
      </w:pPr>
      <w:bookmarkStart w:id="15" w:name="_Toc26322"/>
      <w:bookmarkStart w:id="16" w:name="_Toc29564"/>
      <w:r>
        <w:rPr>
          <w:rFonts w:ascii="Times New Roman" w:hAnsi="Times New Roman"/>
          <w:b/>
          <w:color w:val="000000"/>
          <w:highlight w:val="none"/>
        </w:rPr>
        <w:t>其他</w:t>
      </w:r>
      <w:bookmarkEnd w:id="15"/>
      <w:bookmarkEnd w:id="16"/>
    </w:p>
    <w:p>
      <w:pPr>
        <w:pStyle w:val="9"/>
        <w:numPr>
          <w:ilvl w:val="0"/>
          <w:numId w:val="3"/>
        </w:numPr>
        <w:spacing w:line="560" w:lineRule="exact"/>
        <w:ind w:left="0" w:firstLine="480"/>
        <w:rPr>
          <w:rFonts w:ascii="Times New Roman" w:hAnsi="Times New Roman"/>
          <w:color w:val="000000"/>
          <w:highlight w:val="none"/>
        </w:rPr>
      </w:pPr>
      <w:r>
        <w:rPr>
          <w:rFonts w:ascii="Times New Roman" w:hAnsi="Times New Roman"/>
          <w:color w:val="000000"/>
          <w:highlight w:val="none"/>
        </w:rPr>
        <w:t>本承诺书受中华人民共和国法律管辖，并在所有方面依其进行解释；</w:t>
      </w:r>
    </w:p>
    <w:p>
      <w:pPr>
        <w:pStyle w:val="9"/>
        <w:numPr>
          <w:ilvl w:val="0"/>
          <w:numId w:val="3"/>
        </w:numPr>
        <w:spacing w:line="560" w:lineRule="exact"/>
        <w:ind w:left="0" w:firstLine="480"/>
        <w:rPr>
          <w:rFonts w:ascii="Times New Roman" w:hAnsi="Times New Roman"/>
          <w:color w:val="000000"/>
          <w:highlight w:val="none"/>
        </w:rPr>
      </w:pPr>
      <w:r>
        <w:rPr>
          <w:rFonts w:ascii="Times New Roman" w:hAnsi="Times New Roman"/>
          <w:color w:val="000000"/>
          <w:highlight w:val="none"/>
        </w:rPr>
        <w:t>由本承诺书产生的一切争议由双方友好协商解决。协商不成，双方可向旅投集团所在地的人民法院提起诉讼；</w:t>
      </w:r>
    </w:p>
    <w:p>
      <w:pPr>
        <w:pStyle w:val="9"/>
        <w:numPr>
          <w:ilvl w:val="0"/>
          <w:numId w:val="3"/>
        </w:numPr>
        <w:spacing w:line="560" w:lineRule="exact"/>
        <w:ind w:left="0" w:firstLine="480"/>
        <w:outlineLvl w:val="2"/>
        <w:rPr>
          <w:rFonts w:ascii="Times New Roman" w:hAnsi="Times New Roman"/>
          <w:color w:val="000000"/>
          <w:highlight w:val="none"/>
        </w:rPr>
      </w:pPr>
      <w:bookmarkStart w:id="17" w:name="_Toc6722"/>
      <w:r>
        <w:rPr>
          <w:rFonts w:ascii="Times New Roman" w:hAnsi="Times New Roman"/>
          <w:color w:val="000000"/>
          <w:highlight w:val="none"/>
        </w:rPr>
        <w:t>本承诺书自我司加盖公章之日起生效。</w:t>
      </w:r>
      <w:bookmarkEnd w:id="17"/>
    </w:p>
    <w:p>
      <w:pPr>
        <w:spacing w:line="560" w:lineRule="exact"/>
        <w:rPr>
          <w:rFonts w:ascii="Times New Roman" w:hAnsi="Times New Roman"/>
          <w:color w:val="000000"/>
          <w:highlight w:val="none"/>
        </w:rPr>
      </w:pPr>
    </w:p>
    <w:p>
      <w:pPr>
        <w:spacing w:line="560" w:lineRule="exact"/>
        <w:rPr>
          <w:rFonts w:ascii="Times New Roman" w:hAnsi="Times New Roman"/>
          <w:color w:val="000000"/>
          <w:highlight w:val="none"/>
        </w:rPr>
      </w:pPr>
    </w:p>
    <w:p>
      <w:pPr>
        <w:tabs>
          <w:tab w:val="left" w:pos="7380"/>
        </w:tabs>
        <w:spacing w:line="560" w:lineRule="exact"/>
        <w:ind w:left="3043" w:right="-20"/>
        <w:rPr>
          <w:rFonts w:ascii="Times New Roman" w:hAnsi="Times New Roman"/>
          <w:color w:val="000000"/>
          <w:szCs w:val="24"/>
          <w:highlight w:val="none"/>
        </w:rPr>
      </w:pPr>
      <w:r>
        <w:rPr>
          <w:rFonts w:ascii="Times New Roman" w:hAnsi="Times New Roman"/>
          <w:color w:val="000000"/>
          <w:position w:val="-4"/>
          <w:szCs w:val="24"/>
          <w:highlight w:val="none"/>
        </w:rPr>
        <w:t>投</w:t>
      </w:r>
      <w:r>
        <w:rPr>
          <w:rFonts w:ascii="Times New Roman" w:hAnsi="Times New Roman"/>
          <w:color w:val="000000"/>
          <w:spacing w:val="-2"/>
          <w:position w:val="-4"/>
          <w:szCs w:val="24"/>
          <w:highlight w:val="none"/>
        </w:rPr>
        <w:t>标</w:t>
      </w:r>
      <w:r>
        <w:rPr>
          <w:rFonts w:ascii="Times New Roman" w:hAnsi="Times New Roman"/>
          <w:color w:val="000000"/>
          <w:position w:val="-4"/>
          <w:szCs w:val="24"/>
          <w:highlight w:val="none"/>
        </w:rPr>
        <w:t>人：</w:t>
      </w:r>
      <w:r>
        <w:rPr>
          <w:rFonts w:ascii="Times New Roman" w:hAnsi="Times New Roman"/>
          <w:color w:val="000000"/>
          <w:position w:val="-4"/>
          <w:szCs w:val="24"/>
          <w:highlight w:val="none"/>
          <w:u w:val="single" w:color="000000"/>
        </w:rPr>
        <w:t xml:space="preserve"> </w:t>
      </w:r>
      <w:r>
        <w:rPr>
          <w:rFonts w:ascii="Times New Roman" w:hAnsi="Times New Roman"/>
          <w:color w:val="000000"/>
          <w:spacing w:val="1"/>
          <w:position w:val="-4"/>
          <w:szCs w:val="24"/>
          <w:highlight w:val="none"/>
          <w:u w:val="single" w:color="000000"/>
        </w:rPr>
        <w:t xml:space="preserve"> </w:t>
      </w:r>
      <w:r>
        <w:rPr>
          <w:rFonts w:ascii="Times New Roman" w:hAnsi="Times New Roman"/>
          <w:color w:val="000000"/>
          <w:position w:val="-4"/>
          <w:szCs w:val="24"/>
          <w:highlight w:val="none"/>
          <w:u w:val="single" w:color="000000"/>
        </w:rPr>
        <w:tab/>
      </w:r>
      <w:r>
        <w:rPr>
          <w:rFonts w:ascii="Times New Roman" w:hAnsi="Times New Roman"/>
          <w:color w:val="000000"/>
          <w:position w:val="-4"/>
          <w:szCs w:val="24"/>
          <w:highlight w:val="none"/>
        </w:rPr>
        <w:t>（盖</w:t>
      </w:r>
      <w:r>
        <w:rPr>
          <w:rFonts w:ascii="Times New Roman" w:hAnsi="Times New Roman"/>
          <w:color w:val="000000"/>
          <w:spacing w:val="-2"/>
          <w:position w:val="-4"/>
          <w:szCs w:val="24"/>
          <w:highlight w:val="none"/>
        </w:rPr>
        <w:t>单</w:t>
      </w:r>
      <w:r>
        <w:rPr>
          <w:rFonts w:ascii="Times New Roman" w:hAnsi="Times New Roman"/>
          <w:color w:val="000000"/>
          <w:position w:val="-4"/>
          <w:szCs w:val="24"/>
          <w:highlight w:val="none"/>
        </w:rPr>
        <w:t>位</w:t>
      </w:r>
      <w:r>
        <w:rPr>
          <w:rFonts w:ascii="Times New Roman" w:hAnsi="Times New Roman"/>
          <w:color w:val="000000"/>
          <w:spacing w:val="-2"/>
          <w:position w:val="-4"/>
          <w:szCs w:val="24"/>
          <w:highlight w:val="none"/>
        </w:rPr>
        <w:t>章</w:t>
      </w:r>
      <w:r>
        <w:rPr>
          <w:rFonts w:ascii="Times New Roman" w:hAnsi="Times New Roman"/>
          <w:color w:val="000000"/>
          <w:position w:val="-4"/>
          <w:szCs w:val="24"/>
          <w:highlight w:val="none"/>
        </w:rPr>
        <w:t>）</w:t>
      </w:r>
    </w:p>
    <w:p>
      <w:pPr>
        <w:spacing w:line="560" w:lineRule="exact"/>
        <w:jc w:val="right"/>
        <w:rPr>
          <w:rFonts w:ascii="Times New Roman" w:hAnsi="Times New Roman"/>
          <w:color w:val="000000"/>
          <w:highlight w:val="none"/>
        </w:rPr>
      </w:pPr>
      <w:r>
        <w:rPr>
          <w:rFonts w:ascii="Times New Roman" w:hAnsi="Times New Roman"/>
          <w:color w:val="000000"/>
          <w:highlight w:val="none"/>
        </w:rPr>
        <w:t>承诺单位</w:t>
      </w:r>
      <w:r>
        <w:rPr>
          <w:rFonts w:ascii="Times New Roman" w:hAnsi="Times New Roman"/>
          <w:color w:val="000000"/>
          <w:position w:val="-2"/>
          <w:szCs w:val="24"/>
          <w:highlight w:val="none"/>
        </w:rPr>
        <w:t>法</w:t>
      </w:r>
      <w:r>
        <w:rPr>
          <w:rFonts w:ascii="Times New Roman" w:hAnsi="Times New Roman"/>
          <w:color w:val="000000"/>
          <w:spacing w:val="-2"/>
          <w:position w:val="-2"/>
          <w:szCs w:val="24"/>
          <w:highlight w:val="none"/>
        </w:rPr>
        <w:t>定</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表</w:t>
      </w:r>
      <w:r>
        <w:rPr>
          <w:rFonts w:ascii="Times New Roman" w:hAnsi="Times New Roman"/>
          <w:color w:val="000000"/>
          <w:spacing w:val="-46"/>
          <w:position w:val="-2"/>
          <w:szCs w:val="24"/>
          <w:highlight w:val="none"/>
        </w:rPr>
        <w:t xml:space="preserve">人  </w:t>
      </w:r>
      <w:r>
        <w:rPr>
          <w:rFonts w:ascii="Times New Roman" w:hAnsi="Times New Roman"/>
          <w:color w:val="000000"/>
          <w:position w:val="-2"/>
          <w:szCs w:val="24"/>
          <w:highlight w:val="none"/>
        </w:rPr>
        <w:t>或</w:t>
      </w:r>
      <w:r>
        <w:rPr>
          <w:rFonts w:ascii="Times New Roman" w:hAnsi="Times New Roman"/>
          <w:color w:val="000000"/>
          <w:spacing w:val="-2"/>
          <w:position w:val="-2"/>
          <w:szCs w:val="24"/>
          <w:highlight w:val="none"/>
        </w:rPr>
        <w:t>其</w:t>
      </w:r>
      <w:r>
        <w:rPr>
          <w:rFonts w:ascii="Times New Roman" w:hAnsi="Times New Roman"/>
          <w:color w:val="000000"/>
          <w:position w:val="-2"/>
          <w:szCs w:val="24"/>
          <w:highlight w:val="none"/>
        </w:rPr>
        <w:t>委</w:t>
      </w:r>
      <w:r>
        <w:rPr>
          <w:rFonts w:ascii="Times New Roman" w:hAnsi="Times New Roman"/>
          <w:color w:val="000000"/>
          <w:spacing w:val="-2"/>
          <w:position w:val="-2"/>
          <w:szCs w:val="24"/>
          <w:highlight w:val="none"/>
        </w:rPr>
        <w:t>托</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理</w:t>
      </w:r>
      <w:r>
        <w:rPr>
          <w:rFonts w:ascii="Times New Roman" w:hAnsi="Times New Roman"/>
          <w:color w:val="000000"/>
          <w:position w:val="-2"/>
          <w:szCs w:val="24"/>
          <w:highlight w:val="none"/>
        </w:rPr>
        <w:t>人</w:t>
      </w:r>
      <w:r>
        <w:rPr>
          <w:rFonts w:ascii="Times New Roman" w:hAnsi="Times New Roman"/>
          <w:color w:val="000000"/>
          <w:highlight w:val="none"/>
        </w:rPr>
        <w:t>：</w:t>
      </w:r>
      <w:r>
        <w:rPr>
          <w:rFonts w:ascii="Times New Roman" w:hAnsi="Times New Roman"/>
          <w:color w:val="000000"/>
          <w:highlight w:val="none"/>
          <w:u w:val="single"/>
        </w:rPr>
        <w:t xml:space="preserve">               </w:t>
      </w:r>
      <w:r>
        <w:rPr>
          <w:rFonts w:ascii="Times New Roman" w:hAnsi="Times New Roman"/>
          <w:color w:val="000000"/>
          <w:highlight w:val="none"/>
        </w:rPr>
        <w:t>（签字）</w:t>
      </w:r>
    </w:p>
    <w:p>
      <w:pPr>
        <w:tabs>
          <w:tab w:val="left" w:pos="6420"/>
          <w:tab w:val="left" w:pos="7480"/>
          <w:tab w:val="left" w:pos="8520"/>
        </w:tabs>
        <w:spacing w:line="560" w:lineRule="exact"/>
        <w:ind w:left="5595" w:right="-20"/>
        <w:rPr>
          <w:rFonts w:ascii="Times New Roman" w:hAnsi="Times New Roman"/>
          <w:color w:val="000000"/>
          <w:szCs w:val="24"/>
          <w:highlight w:val="none"/>
        </w:rPr>
      </w:pPr>
      <w:r>
        <w:rPr>
          <w:rFonts w:ascii="Times New Roman" w:hAnsi="Times New Roman"/>
          <w:color w:val="000000"/>
          <w:position w:val="-1"/>
          <w:szCs w:val="24"/>
          <w:highlight w:val="none"/>
          <w:u w:val="single" w:color="000000"/>
        </w:rPr>
        <w:tab/>
      </w:r>
      <w:r>
        <w:rPr>
          <w:rFonts w:ascii="Times New Roman" w:hAnsi="Times New Roman"/>
          <w:color w:val="000000"/>
          <w:spacing w:val="-2"/>
          <w:position w:val="-1"/>
          <w:szCs w:val="24"/>
          <w:highlight w:val="none"/>
        </w:rPr>
        <w:t>年</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月</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日</w:t>
      </w:r>
    </w:p>
    <w:p>
      <w:bookmarkStart w:id="18" w:name="_GoBack"/>
      <w:bookmarkEnd w:id="1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007AF"/>
    <w:multiLevelType w:val="multilevel"/>
    <w:tmpl w:val="144007A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026C34"/>
    <w:multiLevelType w:val="multilevel"/>
    <w:tmpl w:val="1A026C34"/>
    <w:lvl w:ilvl="0" w:tentative="0">
      <w:start w:val="1"/>
      <w:numFmt w:val="japaneseCounting"/>
      <w:lvlText w:val="（%1）"/>
      <w:lvlJc w:val="left"/>
      <w:pPr>
        <w:ind w:left="420" w:hanging="420"/>
      </w:pPr>
      <w:rPr>
        <w:rFonts w:ascii="Calibri" w:hAnsi="Calibri" w:eastAsia="宋体"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961F5D"/>
    <w:multiLevelType w:val="multilevel"/>
    <w:tmpl w:val="2C961F5D"/>
    <w:lvl w:ilvl="0" w:tentative="0">
      <w:start w:val="1"/>
      <w:numFmt w:val="japaneseCounting"/>
      <w:lvlText w:val="%1、"/>
      <w:lvlJc w:val="left"/>
      <w:pPr>
        <w:ind w:left="960" w:hanging="480"/>
      </w:pPr>
      <w:rPr>
        <w:rFonts w:hint="default"/>
        <w:b/>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